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607ddcd70418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18442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TEHNIČKA ŠKOLA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1.938.623,56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1.788.661,10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1.643.711,80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1.898.697,46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110.036,36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290.340,56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38.817,89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290.340,56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38.817,89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148.854,25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Nedostatak poslovnih prihoda smatramo tzv. metodološkim nedostatkom jer je rezultat  knjiženja troškova plaća za 12/2025 isplaćenih u 2026. godini, te materijalnih troškova za 2025. godinu isplaćenih u 2026. godini. Dio nedostatka umanjen je prijenosom viška prihoda iz 2024. godine.  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1.938.623,56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1.788.661,10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92,3</w:t>
            </w:r>
          </w:p>
        </w:tc>
      </w:tr>
    </w:tbl>
    <w:p>
      <w:pPr>
        <w:spacing w:before="0" w:after="0"/>
      </w:pPr>
    </w:p>
    <w:p>
      <w:r>
        <w:t xml:space="preserve">Smanjenje prihoda u odnosu na 2024. godinu odnosi se na veća kapitalna ulaganja u prethodnoj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12.848,71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Škola je sudjelovala kao partner u projektima Regionalnih centara kompententnosti koji su završeni 2023. godine, ali je dio prihoda za zadnje razdoblje uplaćen u 2024. 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6.312,36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Škola je sudjelovala kao partner u projektima Regionalnih centara kompententnosti koji su završeni 2023. godine, ali je dio prihoda za zadnje razdoblje uplaćen u 2024. godini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15.998,66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138,6</w:t>
            </w:r>
          </w:p>
        </w:tc>
      </w:tr>
    </w:tbl>
    <w:p>
      <w:pPr>
        <w:spacing w:before="0" w:after="0"/>
      </w:pPr>
    </w:p>
    <w:p>
      <w:r>
        <w:t xml:space="preserve">Prihodi se odnose na uplate učenika za materijalne rashode - nabava materijala, stručni izleti, premije osiguranja i slično. Rashodi financirani iz navedenih prihoda iskazani su dijelom na kontima 324 - Rashodi za nezaposlene obveze, 32319 - Usluge prijevoza, 3292 - Premije osiguranja, te 32999 - Ostali nespomenuti rashodi. Navedeni prihodi i rashodi prate se prema izvorima financiranja 43.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7.674,48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1.733,84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22,6</w:t>
            </w:r>
          </w:p>
        </w:tc>
      </w:tr>
    </w:tbl>
    <w:p>
      <w:pPr>
        <w:spacing w:before="0" w:after="0"/>
      </w:pPr>
    </w:p>
    <w:p>
      <w:r>
        <w:t xml:space="preserve">Vlastiti prihodi umanjeni su jer smo krajem 2024. godine istekao Ugovor o otkupu električne energije kao povlaštenog proizvođača električne energije, te je otkupna cijena znatno smanjena.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16.472,72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12.652,72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76,8</w:t>
            </w:r>
          </w:p>
        </w:tc>
      </w:tr>
    </w:tbl>
    <w:p>
      <w:pPr>
        <w:spacing w:before="0" w:after="0"/>
      </w:pPr>
    </w:p>
    <w:p>
      <w:r>
        <w:t xml:space="preserve">Tekuće donacije se odnose na donacije za pokriće rashoda za maturalni ples koji su iskazani na kontu 32999 - Ostali nespomenuti izdaci.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144.561,33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180.466,18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</w:tbl>
    <w:p>
      <w:pPr>
        <w:spacing w:before="0" w:after="0"/>
      </w:pPr>
    </w:p>
    <w:p>
      <w:r>
        <w:t xml:space="preserve">Prihodi su veći u odnosu na 2024. godinu za investicijsko ulaganje u obnovu školskog igrališta.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256.353,90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5,3</w:t>
            </w:r>
          </w:p>
        </w:tc>
      </w:tr>
    </w:tbl>
    <w:p>
      <w:pPr>
        <w:spacing w:before="0" w:after="0"/>
      </w:pPr>
    </w:p>
    <w:p>
      <w:r>
        <w:t xml:space="preserve">U 2024. godini proveden je projekt izgradnje fotonaponske elektrane predfinanciran sredstvima Šibensko-kninske županije, a 70% pokriven sredstvima međunarodnih fondova.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1.419.561,42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1.636.167,55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115,3</w:t>
            </w:r>
          </w:p>
        </w:tc>
      </w:tr>
    </w:tbl>
    <w:p>
      <w:pPr>
        <w:spacing w:before="0" w:after="0"/>
      </w:pPr>
    </w:p>
    <w:p>
      <w:r>
        <w:t xml:space="preserve">Povećani prihodi za zaposlene, rezultat je usklađenja koeficijenata radnih mjesta i povećanja rashoda za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74.695,18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61.157,01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81,9</w:t>
            </w:r>
          </w:p>
        </w:tc>
      </w:tr>
    </w:tbl>
    <w:p>
      <w:pPr>
        <w:spacing w:before="0" w:after="0"/>
      </w:pPr>
    </w:p>
    <w:p>
      <w:r>
        <w:t xml:space="preserve">Rashodi za energiju smanjeni su o odnosu na 2024. godinu zahvaljujući izgradnji fotonaponske elektrane na krovu škole koja je svojom proizvodnjom smanjila rashode za električnu energiju.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5.965,76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71.952,50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1206,1</w:t>
            </w:r>
          </w:p>
        </w:tc>
      </w:tr>
    </w:tbl>
    <w:p>
      <w:pPr>
        <w:spacing w:before="0" w:after="0"/>
      </w:pPr>
    </w:p>
    <w:p>
      <w:r>
        <w:t xml:space="preserve">Povećani materijalni rashodi odnose se na rashode obnove školskog igrališta financiranog iz prihoda ŠKŽ -6711.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osobama izvan radnog odnosa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2.132,52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7.710,02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361,5</w:t>
            </w:r>
          </w:p>
        </w:tc>
      </w:tr>
    </w:tbl>
    <w:p>
      <w:pPr>
        <w:spacing w:before="0" w:after="0"/>
      </w:pPr>
    </w:p>
    <w:p>
      <w:r>
        <w:t xml:space="preserve">Povećani rashodi se odnose na troškove smještaja učenika na sajmu Expo, financiranog uplatama učenika - konto 6526.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110.036,36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poslovnih prihoda odnosi se uglavnom na plaću za 12/2025. godinu, isplaćenu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283.559,18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21.420,94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7,6</w:t>
            </w:r>
          </w:p>
        </w:tc>
      </w:tr>
    </w:tbl>
    <w:p>
      <w:pPr>
        <w:spacing w:before="0" w:after="0"/>
      </w:pPr>
    </w:p>
    <w:p>
      <w:r>
        <w:t xml:space="preserve">U 2024. godini realiziran je projekat izgradnje fotonaponske elektrane na krovu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290.340,56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38.817,89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13,4</w:t>
            </w:r>
          </w:p>
        </w:tc>
      </w:tr>
    </w:tbl>
    <w:p>
      <w:pPr>
        <w:spacing w:before="0" w:after="0"/>
      </w:pPr>
    </w:p>
    <w:p>
      <w:r>
        <w:t xml:space="preserve">Manjak prihoda rezultat je što su prihodi za nabavu nefinancijske imovine iskazani u prihodima u okviru klase 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115.735,68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125.817,72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</w:tbl>
    <w:p>
      <w:pPr>
        <w:spacing w:before="0" w:after="0"/>
      </w:pPr>
    </w:p>
    <w:p>
      <w:r>
        <w:t xml:space="preserve">Potraživanja se odnose na plaću za 12/2025. isplaćenu u 2026. godini. Stanje iz prethodne godine knjižili smo 1.1.2025. te smo navedeni podatak ručno unijeli u Bilancu. Isti podatak iskazan je i na kontu 9636.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33.461,69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39.636,21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</w:tbl>
    <w:p>
      <w:pPr>
        <w:spacing w:before="0" w:after="0"/>
      </w:pPr>
    </w:p>
    <w:p>
      <w:r>
        <w:t xml:space="preserve">Potraživanja se odnose na neutrošena sredstva iz vlastitih prihoda, učeničkih sredstava i donacija za maturalni ples.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119.636,87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 kontu 193 za 2024. godinu godinu iskazani su rashodi za plaću 12/24, te rashodi za režijske troškove plaćeni u 2025. godinu. Pravinikom o proračunskom računovodstvu više se na taj način ne iskazuju kontinuirani rashodi, već se knjiže u okviru klase 3.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proizvedene dugotrajne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18.972,50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Stavka 242 odnosi se na račun za opremu nabavljenu u prosincu 2025. godine, a za koju je dospijeće računa bilo u siječnju 2026. godine, kad je i plaćen.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111.134,97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Iskazani manjak poslovnih prihoda razlikuje se u odnosu na manjak prihoda iz obrasca PR-RAS zbog korekcije prihoda namijenjenih za nabavu nefinancijske imovine 6362 - Kapitalne pomoći u iznosu od 19.512,50 eura, te 6712-Prihodi iz nadležnog proračuna u uznosu od 13.500,00 eura, te dijelom prenesenim viškom prihoda iz 2024. godine.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7.821,75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5.805,39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74,2</w:t>
            </w:r>
          </w:p>
        </w:tc>
      </w:tr>
    </w:tbl>
    <w:p>
      <w:pPr>
        <w:spacing w:before="0" w:after="0"/>
      </w:pPr>
    </w:p>
    <w:p>
      <w:r>
        <w:t xml:space="preserve">Iskazani manjak prihoda za nabavu nefinancijske imovine razlikuje se u odnosu na manjak prihoda iz obrasca PR-RAS zbog korekcije prihoda namijenjenih za nabavu nefinancijske imovine 6362 - Kapitalne pomoći u iznosu od 19.512,50 eura, te 6712-Prihodi iz nadležnog proračuna u uznosu od 13.500,00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199.840,40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Iskazano smanjenje vrijednosti odnosi se na godišnji ispravak vrijednosti (amortizaciju) nematerijalne i materijalne imovine.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Dana 31.12.2025. sve dospjele obveze su podmirene.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01b6758cab441e" /></Relationships>
</file>